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D89" w:rsidRDefault="00A96D89" w:rsidP="00A96D89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Zapraszamy do nadsyłania propozycji wystąpień podczas otwartej konferencji naukowej</w:t>
      </w:r>
    </w:p>
    <w:p w:rsidR="005E4B0A" w:rsidRPr="00104D0F" w:rsidRDefault="005E4B0A" w:rsidP="005E4B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104D0F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Obce/swoje II</w:t>
      </w:r>
    </w:p>
    <w:p w:rsidR="005E4B0A" w:rsidRPr="00104D0F" w:rsidRDefault="005E4B0A" w:rsidP="005E4B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4D0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Miasto i wieś w literaturze i kulturze ukraińskiej, polskiej, białoruskiej, rosyjskiej</w:t>
      </w:r>
    </w:p>
    <w:p w:rsidR="003C7AA6" w:rsidRDefault="005E4B0A" w:rsidP="00B214BD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E4B0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która odbędzie się </w:t>
      </w:r>
      <w:r w:rsidR="00B214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 października</w:t>
      </w:r>
      <w:r w:rsidR="003C7AA6" w:rsidRPr="003C7AA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201</w:t>
      </w:r>
      <w:r w:rsidR="00B214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="003C7AA6" w:rsidRPr="003C7AA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roku</w:t>
      </w:r>
      <w:r w:rsidRPr="005E4B0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</w:t>
      </w:r>
      <w:r w:rsidR="003C7AA6" w:rsidRPr="003C7AA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Krak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owie</w:t>
      </w:r>
      <w:r w:rsidRPr="005E4B0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 </w:t>
      </w:r>
      <w:r w:rsidR="00DA2B1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Katedrze Ukrainistyki Instytutu</w:t>
      </w:r>
      <w:r w:rsidRPr="005E4B0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Filologii Wschodniosłowiańskiej UJ</w:t>
      </w:r>
    </w:p>
    <w:p w:rsidR="005E4B0A" w:rsidRPr="005E4B0A" w:rsidRDefault="005E4B0A" w:rsidP="00B214BD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Konferencji towarzyszyć będzie interdyscyplinarne, otwarte dla publiczności seminarium naukowe, które odbędzie się </w:t>
      </w:r>
      <w:r w:rsidRPr="005E4B0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21 października 2016 roku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</w:t>
      </w:r>
      <w:r w:rsidRPr="005E4B0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Muzeum Historyczn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ym</w:t>
      </w:r>
      <w:r w:rsidRPr="005E4B0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Miasta Krakowa</w:t>
      </w:r>
    </w:p>
    <w:p w:rsidR="005E4B0A" w:rsidRDefault="00DA2B15" w:rsidP="00B214BD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</w:t>
      </w:r>
      <w:r w:rsidR="005E4B0A" w:rsidRPr="005E4B0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rganizatorzy</w:t>
      </w:r>
      <w:r w:rsidR="005E4B0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wydarzenia</w:t>
      </w:r>
      <w:r w:rsidR="005E4B0A" w:rsidRPr="005E4B0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: Fundacja Slawistyczna,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Katedra Ukrainistyki </w:t>
      </w:r>
      <w:r w:rsidR="005E4B0A" w:rsidRPr="005E4B0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Instytut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</w:t>
      </w:r>
      <w:r w:rsidR="005E4B0A" w:rsidRPr="005E4B0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Filologii Wschodniosłowiańskiej UJ, Muzeum Historyczne Miasta Krakowa, Instytut Slawistyki PAN</w:t>
      </w:r>
    </w:p>
    <w:p w:rsidR="005E4B0A" w:rsidRPr="003C7AA6" w:rsidRDefault="005E4B0A" w:rsidP="00B214BD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214BD" w:rsidRPr="00CB3885" w:rsidRDefault="00B214BD" w:rsidP="00B214BD">
      <w:pPr>
        <w:pStyle w:val="Standard"/>
        <w:spacing w:after="200" w:line="276" w:lineRule="auto"/>
        <w:jc w:val="both"/>
        <w:rPr>
          <w:rFonts w:cs="Times New Roman"/>
        </w:rPr>
      </w:pPr>
      <w:r w:rsidRPr="00CB3885">
        <w:rPr>
          <w:rFonts w:cs="Times New Roman"/>
        </w:rPr>
        <w:t xml:space="preserve">Jak pokazała </w:t>
      </w:r>
      <w:r w:rsidR="005E4B0A">
        <w:rPr>
          <w:rFonts w:cs="Times New Roman"/>
        </w:rPr>
        <w:t xml:space="preserve">pierwsza z cyklu </w:t>
      </w:r>
      <w:r w:rsidRPr="00CB3885">
        <w:rPr>
          <w:rFonts w:cs="Times New Roman"/>
        </w:rPr>
        <w:t>konferencja „Obce/swoje. Miasto i wieś w literaturze i kulturze ukraińskiej” (</w:t>
      </w:r>
      <w:r w:rsidR="00DA2B15">
        <w:rPr>
          <w:rFonts w:cs="Times New Roman"/>
        </w:rPr>
        <w:t xml:space="preserve">Katedra Ukrainistyki </w:t>
      </w:r>
      <w:r w:rsidRPr="00CB3885">
        <w:rPr>
          <w:rFonts w:cs="Times New Roman"/>
        </w:rPr>
        <w:t>IFW UJ, Kraków</w:t>
      </w:r>
      <w:r w:rsidR="005E4B0A">
        <w:rPr>
          <w:rFonts w:cs="Times New Roman"/>
        </w:rPr>
        <w:t xml:space="preserve"> 2014</w:t>
      </w:r>
      <w:r w:rsidRPr="00CB3885">
        <w:rPr>
          <w:rFonts w:cs="Times New Roman"/>
        </w:rPr>
        <w:t xml:space="preserve">), temat miasta i wsi, konfrontacji miejskich i wiejskich postaw i światopoglądów oraz różnych obrazów tych dwóch środowisk, budzi duże zainteresowanie badaczy. </w:t>
      </w:r>
      <w:r>
        <w:rPr>
          <w:rFonts w:cs="Times New Roman"/>
        </w:rPr>
        <w:t>Materiały</w:t>
      </w:r>
      <w:r w:rsidRPr="00CB3885">
        <w:rPr>
          <w:rFonts w:cs="Times New Roman"/>
        </w:rPr>
        <w:t xml:space="preserve"> tej konferencji zostały opublikowane w wolnym dostępie jako monografia zbiorowa </w:t>
      </w:r>
      <w:r w:rsidRPr="00CB3885">
        <w:rPr>
          <w:rFonts w:cs="Times New Roman"/>
          <w:i/>
        </w:rPr>
        <w:t>Obce/swoje. Miasto i wieś w literaturze i kulturze ukraińskiej</w:t>
      </w:r>
      <w:r w:rsidRPr="00CB3885">
        <w:rPr>
          <w:rFonts w:cs="Times New Roman"/>
        </w:rPr>
        <w:t xml:space="preserve"> pod redakcją naukową Katarzyny Glinianowicz i Katarzyny Kotyńskiej (Scriptum, Kraków 2015).</w:t>
      </w:r>
    </w:p>
    <w:p w:rsidR="00B214BD" w:rsidRPr="00CB3885" w:rsidRDefault="005E4B0A" w:rsidP="00B214BD">
      <w:pPr>
        <w:pStyle w:val="Standard"/>
        <w:spacing w:after="200" w:line="276" w:lineRule="auto"/>
        <w:jc w:val="both"/>
        <w:rPr>
          <w:rFonts w:cs="Times New Roman"/>
        </w:rPr>
      </w:pPr>
      <w:r>
        <w:rPr>
          <w:rFonts w:eastAsia="TimesNewRomanPSMT_PDF_Subset" w:cs="Times New Roman"/>
          <w:color w:val="000000"/>
        </w:rPr>
        <w:t>Jednak l</w:t>
      </w:r>
      <w:r w:rsidR="00B214BD" w:rsidRPr="00CB3885">
        <w:rPr>
          <w:rFonts w:eastAsia="TimesNewRomanPSMT_PDF_Subset" w:cs="Times New Roman"/>
          <w:color w:val="000000"/>
        </w:rPr>
        <w:t xml:space="preserve">iteratury i kultury narodowe nie powstają i nie rozwijają się we wzajemnej izolacji. Ze względu na historyczne </w:t>
      </w:r>
      <w:r w:rsidR="00B214BD">
        <w:rPr>
          <w:rFonts w:eastAsia="TimesNewRomanPSMT_PDF_Subset" w:cs="Times New Roman"/>
          <w:color w:val="000000"/>
        </w:rPr>
        <w:t>związki</w:t>
      </w:r>
      <w:r w:rsidR="00B214BD" w:rsidRPr="00CB3885">
        <w:rPr>
          <w:rFonts w:eastAsia="TimesNewRomanPSMT_PDF_Subset" w:cs="Times New Roman"/>
          <w:color w:val="000000"/>
        </w:rPr>
        <w:t xml:space="preserve"> Polski i krajów wschodniosłowiańskich, </w:t>
      </w:r>
      <w:r w:rsidR="00B214BD">
        <w:rPr>
          <w:rFonts w:eastAsia="TimesNewRomanPSMT_PDF_Subset" w:cs="Times New Roman"/>
          <w:color w:val="000000"/>
        </w:rPr>
        <w:t>kontakty, wpływy i podobieństwa</w:t>
      </w:r>
      <w:r w:rsidR="00B214BD" w:rsidRPr="00CB3885">
        <w:rPr>
          <w:rFonts w:eastAsia="TimesNewRomanPSMT_PDF_Subset" w:cs="Times New Roman"/>
          <w:color w:val="000000"/>
        </w:rPr>
        <w:t xml:space="preserve"> są</w:t>
      </w:r>
      <w:r w:rsidR="00B214BD">
        <w:rPr>
          <w:rFonts w:eastAsia="TimesNewRomanPSMT_PDF_Subset" w:cs="Times New Roman"/>
          <w:color w:val="000000"/>
        </w:rPr>
        <w:t xml:space="preserve"> w ich przypadku</w:t>
      </w:r>
      <w:r w:rsidR="00B214BD" w:rsidRPr="00CB3885">
        <w:rPr>
          <w:rFonts w:eastAsia="TimesNewRomanPSMT_PDF_Subset" w:cs="Times New Roman"/>
          <w:color w:val="000000"/>
        </w:rPr>
        <w:t xml:space="preserve"> wyraźne i silne, co jednak nie przekreśla faktu istnienia ważnych różnic. </w:t>
      </w:r>
      <w:r w:rsidR="00B214BD" w:rsidRPr="00CB3885">
        <w:rPr>
          <w:rFonts w:cs="Times New Roman"/>
        </w:rPr>
        <w:t xml:space="preserve">Celem obecnego </w:t>
      </w:r>
      <w:r w:rsidR="00B214BD">
        <w:rPr>
          <w:rFonts w:cs="Times New Roman"/>
        </w:rPr>
        <w:t>spotkania</w:t>
      </w:r>
      <w:r w:rsidR="00B214BD" w:rsidRPr="00CB3885">
        <w:rPr>
          <w:rFonts w:cs="Times New Roman"/>
        </w:rPr>
        <w:t xml:space="preserve"> jest szersze zbadanie zarysowanego zaledwie podczas tamtej konferencji tła porównawczego, polsko-wschodniosłowiańskiego.</w:t>
      </w:r>
    </w:p>
    <w:p w:rsidR="00B214BD" w:rsidRPr="00CB3885" w:rsidRDefault="00B214BD" w:rsidP="00B214BD">
      <w:pPr>
        <w:pStyle w:val="Standard"/>
        <w:spacing w:after="200" w:line="276" w:lineRule="auto"/>
        <w:jc w:val="both"/>
        <w:rPr>
          <w:rFonts w:cs="Times New Roman"/>
        </w:rPr>
      </w:pPr>
      <w:r w:rsidRPr="00CB3885">
        <w:rPr>
          <w:rFonts w:cs="Times New Roman"/>
        </w:rPr>
        <w:t xml:space="preserve">„Wiejskość” jako skarbnica tradycji, fundament społeczny, gwarant prawidłowego rozwoju narodu i społeczeństwa także </w:t>
      </w:r>
      <w:r w:rsidR="005E4B0A">
        <w:rPr>
          <w:rFonts w:cs="Times New Roman"/>
        </w:rPr>
        <w:t xml:space="preserve">i tutaj </w:t>
      </w:r>
      <w:r w:rsidRPr="00CB3885">
        <w:rPr>
          <w:rFonts w:cs="Times New Roman"/>
        </w:rPr>
        <w:t>zderzona zostaje z „wiejskością” jako synonim</w:t>
      </w:r>
      <w:r w:rsidR="005E4B0A">
        <w:rPr>
          <w:rFonts w:cs="Times New Roman"/>
        </w:rPr>
        <w:t>em</w:t>
      </w:r>
      <w:r w:rsidRPr="00CB3885">
        <w:rPr>
          <w:rFonts w:cs="Times New Roman"/>
        </w:rPr>
        <w:t xml:space="preserve"> zacofania, zaściankowości, ksenofobii i zgubnego zapatrzenia w przeszłość. „Miejskość” to z jednej strony szansa rozwoju, droga modernizacji, nadzieja na lepszą przyszłość, wreszcie naturalne środowisko życia społecznego, z drugiej zaś </w:t>
      </w:r>
      <w:r w:rsidR="00DA2B15">
        <w:rPr>
          <w:rFonts w:cs="Times New Roman"/>
        </w:rPr>
        <w:t>–</w:t>
      </w:r>
      <w:r w:rsidRPr="00CB3885">
        <w:rPr>
          <w:rFonts w:cs="Times New Roman"/>
        </w:rPr>
        <w:t xml:space="preserve"> demon niszczący zdrowe społeczeństwo, zagrożenie dla tradycyjnych wartości, a także świat obcego języka i kultury (polskiego, rosyjskiego, niemieckiego), wrogi, obcy, nienaturalny.</w:t>
      </w:r>
    </w:p>
    <w:p w:rsidR="00B214BD" w:rsidRPr="00CB3885" w:rsidRDefault="00B214BD" w:rsidP="00B214BD">
      <w:pPr>
        <w:pStyle w:val="Standard"/>
        <w:spacing w:after="200" w:line="276" w:lineRule="auto"/>
        <w:jc w:val="both"/>
        <w:rPr>
          <w:rFonts w:cs="Times New Roman"/>
        </w:rPr>
      </w:pPr>
      <w:r w:rsidRPr="00CB3885">
        <w:rPr>
          <w:rFonts w:cs="Times New Roman"/>
        </w:rPr>
        <w:t>Kluczowym zagadnieniem będzie pytanie o podobieństwa, różnice i wzajemne związki – inspiracje, a może właśnie przeciwnie, odrzucanie „sąsiedzkiego” modelu opisu czy zachowania. Chcemy sprawdzić, czy w literaturze, kulturze, języku Polski, Ukrainy, Białorusi, Rosji istnieją wspólne wzory zachowań, wspólne wartościowania przestrzeni miejskiej i wiejskiej, a jeśli tak – jakich epok historycznych i literackich dotyczą</w:t>
      </w:r>
      <w:r w:rsidR="005E4B0A">
        <w:rPr>
          <w:rFonts w:cs="Times New Roman"/>
        </w:rPr>
        <w:t>, a także</w:t>
      </w:r>
      <w:r w:rsidRPr="00CB3885">
        <w:rPr>
          <w:rFonts w:cs="Times New Roman"/>
        </w:rPr>
        <w:t xml:space="preserve"> w jakich aspektach te podobieństwa / różnice zanikają i z jakiego powodu</w:t>
      </w:r>
      <w:r w:rsidR="005E4B0A">
        <w:rPr>
          <w:rFonts w:cs="Times New Roman"/>
        </w:rPr>
        <w:t>.</w:t>
      </w:r>
    </w:p>
    <w:p w:rsidR="00B214BD" w:rsidRDefault="00B214BD" w:rsidP="005E4B0A">
      <w:pPr>
        <w:pStyle w:val="Standard"/>
        <w:spacing w:after="200" w:line="276" w:lineRule="auto"/>
        <w:jc w:val="both"/>
        <w:rPr>
          <w:rFonts w:cs="Times New Roman"/>
        </w:rPr>
      </w:pPr>
      <w:r w:rsidRPr="00CB3885">
        <w:rPr>
          <w:rFonts w:cs="Times New Roman"/>
        </w:rPr>
        <w:t xml:space="preserve">Teksty napisane na podstawie poddanych pod dyskusję </w:t>
      </w:r>
      <w:r w:rsidR="00DA2B15">
        <w:rPr>
          <w:rFonts w:cs="Times New Roman"/>
        </w:rPr>
        <w:t xml:space="preserve">będą opublikowane w </w:t>
      </w:r>
      <w:r w:rsidRPr="00CB3885">
        <w:rPr>
          <w:rFonts w:cs="Times New Roman"/>
        </w:rPr>
        <w:t>monografii zbiorowej.</w:t>
      </w:r>
    </w:p>
    <w:p w:rsidR="00CA667F" w:rsidRPr="00DA2B15" w:rsidRDefault="00CA667F" w:rsidP="005E4B0A">
      <w:pPr>
        <w:pStyle w:val="Standard"/>
        <w:spacing w:after="200" w:line="276" w:lineRule="auto"/>
        <w:jc w:val="both"/>
        <w:rPr>
          <w:rFonts w:cs="Times New Roman"/>
          <w:b/>
        </w:rPr>
      </w:pPr>
      <w:r>
        <w:rPr>
          <w:rFonts w:cs="Times New Roman"/>
        </w:rPr>
        <w:lastRenderedPageBreak/>
        <w:t xml:space="preserve">Zgłoszenia tematów wraz z krótkimi streszczeniami (do 500 znaków) prosimy nadsyłać na adres </w:t>
      </w:r>
      <w:r w:rsidR="00DA2B15" w:rsidRPr="00DA2B15">
        <w:rPr>
          <w:rFonts w:cs="Times New Roman"/>
          <w:b/>
        </w:rPr>
        <w:t>katedraukrainistyki@gmail.com</w:t>
      </w:r>
      <w:r>
        <w:rPr>
          <w:rFonts w:cs="Times New Roman"/>
        </w:rPr>
        <w:t xml:space="preserve"> do dnia </w:t>
      </w:r>
      <w:r w:rsidR="00DA2B15" w:rsidRPr="00DA2B15">
        <w:rPr>
          <w:rFonts w:cs="Times New Roman"/>
          <w:b/>
        </w:rPr>
        <w:t>31 lipca 2016.</w:t>
      </w:r>
    </w:p>
    <w:p w:rsidR="00CA667F" w:rsidRDefault="00CA667F" w:rsidP="005E4B0A">
      <w:pPr>
        <w:pStyle w:val="Standard"/>
        <w:spacing w:after="200" w:line="276" w:lineRule="auto"/>
        <w:jc w:val="both"/>
        <w:rPr>
          <w:rFonts w:cs="Times New Roman"/>
        </w:rPr>
      </w:pPr>
      <w:r>
        <w:rPr>
          <w:rFonts w:cs="Times New Roman"/>
        </w:rPr>
        <w:t>Organizatorzy zastrzegają sobie prawo wyboru zgłoszeń.</w:t>
      </w:r>
    </w:p>
    <w:p w:rsidR="00CA667F" w:rsidRPr="00DA2B15" w:rsidRDefault="00CA667F" w:rsidP="005E4B0A">
      <w:pPr>
        <w:pStyle w:val="Standard"/>
        <w:spacing w:after="200" w:line="276" w:lineRule="auto"/>
        <w:jc w:val="both"/>
        <w:rPr>
          <w:rFonts w:cs="Times New Roman"/>
          <w:b/>
        </w:rPr>
      </w:pPr>
      <w:r>
        <w:rPr>
          <w:rFonts w:cs="Times New Roman"/>
        </w:rPr>
        <w:t xml:space="preserve">Opłata konferencyjna: </w:t>
      </w:r>
      <w:r w:rsidRPr="00DA2B15">
        <w:rPr>
          <w:rFonts w:cs="Times New Roman"/>
          <w:b/>
        </w:rPr>
        <w:t>300 zł</w:t>
      </w:r>
    </w:p>
    <w:p w:rsidR="00CA667F" w:rsidRDefault="00CA667F" w:rsidP="005E4B0A">
      <w:pPr>
        <w:pStyle w:val="Standard"/>
        <w:spacing w:after="200" w:line="276" w:lineRule="auto"/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Koszty przejazdów i noclegów pokrywają prelegenci.</w:t>
      </w:r>
      <w:bookmarkStart w:id="0" w:name="_GoBack"/>
      <w:bookmarkEnd w:id="0"/>
    </w:p>
    <w:sectPr w:rsidR="00CA667F" w:rsidSect="006013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NewRomanPSMT_PDF_Subse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F769C8"/>
    <w:multiLevelType w:val="multilevel"/>
    <w:tmpl w:val="E0886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/>
  <w:rsids>
    <w:rsidRoot w:val="003C7AA6"/>
    <w:rsid w:val="000F3096"/>
    <w:rsid w:val="00104D0F"/>
    <w:rsid w:val="003C7AA6"/>
    <w:rsid w:val="005E4B0A"/>
    <w:rsid w:val="0060130B"/>
    <w:rsid w:val="00A96D89"/>
    <w:rsid w:val="00B214BD"/>
    <w:rsid w:val="00CA667F"/>
    <w:rsid w:val="00DA2B15"/>
    <w:rsid w:val="00F36D73"/>
    <w:rsid w:val="00FC6F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0130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C7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B214BD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C7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B214BD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749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446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</dc:creator>
  <cp:lastModifiedBy>uj</cp:lastModifiedBy>
  <cp:revision>2</cp:revision>
  <dcterms:created xsi:type="dcterms:W3CDTF">2016-02-12T12:06:00Z</dcterms:created>
  <dcterms:modified xsi:type="dcterms:W3CDTF">2016-02-12T12:06:00Z</dcterms:modified>
</cp:coreProperties>
</file>